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left"/>
      </w:pPr>
      <w:r>
        <w:rPr>
          <w:rFonts w:ascii="Calibri" w:cs="Calibri" w:eastAsia="Calibri" w:hAnsi="Calibri"/>
          <w:smallCaps/>
          <w:color w:val="262626"/>
          <w:sz w:val="56"/>
          <w:szCs w:val="56"/>
        </w:rPr>
        <w:t xml:space="preserve">Kristina Campbell, MSW</w:t>
      </w:r>
    </w:p>
    <w:p>
      <w:pPr>
        <w:spacing w:after="160"/>
        <w:jc w:val="left"/>
      </w:pPr>
      <w:r>
        <w:rPr>
          <w:rFonts w:ascii="Calibri" w:cs="Calibri" w:eastAsia="Calibri" w:hAnsi="Calibri"/>
          <w:smallCaps/>
          <w:color w:val="595959"/>
          <w:sz w:val="19"/>
          <w:szCs w:val="19"/>
        </w:rPr>
        <w:t xml:space="preserve">Relocating to Des Moines, IA  |  (816) 248-4376  |  kcampbellmsw@gmail.com  |  linkedin.com/in/kristina-campbell-72556023</w:t>
      </w:r>
    </w:p>
    <w:p>
      <w:pPr>
        <w:keepNext/>
        <w:pBdr>
          <w:bottom w:val="single" w:color="44546A" w:sz="6" w:space="2"/>
        </w:pBdr>
        <w:spacing w:after="40" w:before="0"/>
      </w:pPr>
      <w:r>
        <w:rPr>
          <w:rFonts w:ascii="Calibri" w:cs="Calibri" w:eastAsia="Calibri" w:hAnsi="Calibri"/>
          <w:b/>
          <w:bCs/>
          <w:color w:val="44546A"/>
          <w:sz w:val="28"/>
          <w:szCs w:val="28"/>
        </w:rPr>
        <w:t xml:space="preserve">CLINICAL DIRECTOR, BEHAVIORAL HEALTH SERVICES</w:t>
      </w:r>
    </w:p>
    <w:p>
      <w:pPr>
        <w:spacing w:after="120" w:before="0" w:line="252"/>
        <w:jc w:val="left"/>
      </w:pPr>
      <w:r>
        <w:rPr>
          <w:rFonts w:ascii="Calibri" w:cs="Calibri" w:eastAsia="Calibri" w:hAnsi="Calibri"/>
          <w:color w:val="44546A"/>
          <w:sz w:val="20"/>
          <w:szCs w:val="20"/>
        </w:rPr>
        <w:t xml:space="preserve">CCBHC Operations  |  Crisis Systems  |  Quality &amp; Accreditation  |  Value-Based Care</w:t>
      </w:r>
    </w:p>
    <w:p>
      <w:pPr>
        <w:spacing w:after="80" w:before="0" w:line="252"/>
        <w:jc w:val="both"/>
      </w:pPr>
      <w:r>
        <w:rPr>
          <w:rFonts w:ascii="Calibri" w:cs="Calibri" w:eastAsia="Calibri" w:hAnsi="Calibri"/>
          <w:color w:val="262626"/>
          <w:sz w:val="20"/>
          <w:szCs w:val="20"/>
        </w:rPr>
        <w:t xml:space="preserve">Co-CEO of Family Guidance Center for Behavioral Healthcare, a certified community behavioral health organization with nearly 200 staff serving more than 6,000 people a year across nine rural Missouri counties, and a Master of Social Work whose career began at the same agency in 2000. Has held clinical leadership at every level since, with current oversight of all clinical programming, the crisis system, the psychiatric and nursing practice, and legislative advocacy.</w:t>
      </w:r>
    </w:p>
    <w:p>
      <w:pPr>
        <w:spacing w:after="60" w:before="0" w:line="252"/>
        <w:jc w:val="both"/>
      </w:pPr>
      <w:r>
        <w:rPr>
          <w:rFonts w:ascii="Calibri" w:cs="Calibri" w:eastAsia="Calibri" w:hAnsi="Calibri"/>
          <w:color w:val="262626"/>
          <w:sz w:val="20"/>
          <w:szCs w:val="20"/>
        </w:rPr>
        <w:t xml:space="preserve">Respected for launching new services and keeping them financially sound under state certification and national accreditation standards. Relocating to the greater Des Moines area.</w:t>
      </w:r>
    </w:p>
    <w:p>
      <w:pPr>
        <w:keepNext/>
        <w:pBdr>
          <w:bottom w:val="single" w:color="44546A" w:sz="4" w:space="1"/>
        </w:pBdr>
        <w:spacing w:after="70" w:before="160"/>
      </w:pPr>
      <w:r>
        <w:rPr>
          <w:rFonts w:ascii="Calibri" w:cs="Calibri" w:eastAsia="Calibri" w:hAnsi="Calibri"/>
          <w:b/>
          <w:bCs/>
          <w:smallCaps/>
          <w:color w:val="44546A"/>
          <w:sz w:val="24"/>
          <w:szCs w:val="24"/>
        </w:rPr>
        <w:t xml:space="preserve">Career Highlights</w:t>
      </w:r>
    </w:p>
    <w:p>
      <w:pPr>
        <w:pStyle w:val="ListParagraph"/>
        <w:numPr>
          <w:ilvl w:val="0"/>
          <w:numId w:val="2"/>
        </w:numPr>
        <w:tabs>
          <w:tab w:val="left" w:pos="360"/>
        </w:tabs>
        <w:spacing w:after="0" w:before="0" w:line="250"/>
      </w:pPr>
      <w:r>
        <w:rPr>
          <w:rFonts w:ascii="Calibri" w:cs="Calibri" w:eastAsia="Calibri" w:hAnsi="Calibri"/>
          <w:color w:val="262626"/>
          <w:sz w:val="20"/>
          <w:szCs w:val="20"/>
        </w:rPr>
        <w:t xml:space="preserve">Grew revenue by $7M through new programming in an administrative role, with every program under supervision finishing each fiscal year in cumulative surplus.</w:t>
      </w:r>
    </w:p>
    <w:p>
      <w:pPr>
        <w:pStyle w:val="ListParagraph"/>
        <w:numPr>
          <w:ilvl w:val="0"/>
          <w:numId w:val="2"/>
        </w:numPr>
        <w:tabs>
          <w:tab w:val="left" w:pos="360"/>
        </w:tabs>
        <w:spacing w:after="0" w:before="0" w:line="250"/>
      </w:pPr>
      <w:r>
        <w:rPr>
          <w:rFonts w:ascii="Calibri" w:cs="Calibri" w:eastAsia="Calibri" w:hAnsi="Calibri"/>
          <w:color w:val="262626"/>
          <w:sz w:val="20"/>
          <w:szCs w:val="20"/>
        </w:rPr>
        <w:t xml:space="preserve">Turned around the agency's second-largest program, producing a $391K positive financial change in 12 months.</w:t>
      </w:r>
    </w:p>
    <w:p>
      <w:pPr>
        <w:pStyle w:val="ListParagraph"/>
        <w:numPr>
          <w:ilvl w:val="0"/>
          <w:numId w:val="2"/>
        </w:numPr>
        <w:tabs>
          <w:tab w:val="left" w:pos="360"/>
        </w:tabs>
        <w:spacing w:after="0" w:before="0" w:line="250"/>
      </w:pPr>
      <w:r>
        <w:rPr>
          <w:rFonts w:ascii="Calibri" w:cs="Calibri" w:eastAsia="Calibri" w:hAnsi="Calibri"/>
          <w:color w:val="262626"/>
          <w:sz w:val="20"/>
          <w:szCs w:val="20"/>
        </w:rPr>
        <w:t xml:space="preserve">Built quality improvement efforts that earn at least $300K in value-based payments every year.</w:t>
      </w:r>
    </w:p>
    <w:p>
      <w:pPr>
        <w:pStyle w:val="ListParagraph"/>
        <w:numPr>
          <w:ilvl w:val="0"/>
          <w:numId w:val="2"/>
        </w:numPr>
        <w:tabs>
          <w:tab w:val="left" w:pos="360"/>
        </w:tabs>
        <w:spacing w:after="0" w:before="0" w:line="250"/>
      </w:pPr>
      <w:r>
        <w:rPr>
          <w:rFonts w:ascii="Calibri" w:cs="Calibri" w:eastAsia="Calibri" w:hAnsi="Calibri"/>
          <w:color w:val="262626"/>
          <w:sz w:val="20"/>
          <w:szCs w:val="20"/>
        </w:rPr>
        <w:t xml:space="preserve">Led the agency to CARF accreditation at the highest level in every three-year cycle, with no program ever placed on provisional certification by the Department of Mental Health.</w:t>
      </w:r>
    </w:p>
    <w:p>
      <w:pPr>
        <w:pStyle w:val="ListParagraph"/>
        <w:numPr>
          <w:ilvl w:val="0"/>
          <w:numId w:val="2"/>
        </w:numPr>
        <w:tabs>
          <w:tab w:val="left" w:pos="360"/>
        </w:tabs>
        <w:spacing w:after="0" w:before="0" w:line="250"/>
      </w:pPr>
      <w:r>
        <w:rPr>
          <w:rFonts w:ascii="Calibri" w:cs="Calibri" w:eastAsia="Calibri" w:hAnsi="Calibri"/>
          <w:color w:val="262626"/>
          <w:sz w:val="20"/>
          <w:szCs w:val="20"/>
        </w:rPr>
        <w:t xml:space="preserve">Led clinical transformation to CCBHO certification and moved substance use disorder services to ASAM levels of care.</w:t>
      </w:r>
    </w:p>
    <w:p>
      <w:pPr>
        <w:pStyle w:val="ListParagraph"/>
        <w:numPr>
          <w:ilvl w:val="0"/>
          <w:numId w:val="2"/>
        </w:numPr>
        <w:tabs>
          <w:tab w:val="left" w:pos="360"/>
        </w:tabs>
        <w:spacing w:after="0" w:before="0" w:line="250"/>
      </w:pPr>
      <w:r>
        <w:rPr>
          <w:rFonts w:ascii="Calibri" w:cs="Calibri" w:eastAsia="Calibri" w:hAnsi="Calibri"/>
          <w:color w:val="262626"/>
          <w:sz w:val="20"/>
          <w:szCs w:val="20"/>
        </w:rPr>
        <w:t xml:space="preserve">Expanded the psychiatric practice from 2 to 10 providers and built a Behavioral Health Urgent Care Clinic from the ground up.</w:t>
      </w:r>
    </w:p>
    <w:p>
      <w:pPr>
        <w:pStyle w:val="ListParagraph"/>
        <w:numPr>
          <w:ilvl w:val="0"/>
          <w:numId w:val="2"/>
        </w:numPr>
        <w:tabs>
          <w:tab w:val="left" w:pos="360"/>
        </w:tabs>
        <w:spacing w:after="0" w:before="0" w:line="250"/>
      </w:pPr>
      <w:r>
        <w:rPr>
          <w:rFonts w:ascii="Calibri" w:cs="Calibri" w:eastAsia="Calibri" w:hAnsi="Calibri"/>
          <w:color w:val="262626"/>
          <w:sz w:val="20"/>
          <w:szCs w:val="20"/>
        </w:rPr>
        <w:t xml:space="preserve">Created law enforcement co-responder partnerships and jail-based mental health services that earned national recognition.</w:t>
      </w:r>
    </w:p>
    <w:p>
      <w:pPr>
        <w:keepNext/>
        <w:pBdr>
          <w:bottom w:val="single" w:color="44546A" w:sz="4" w:space="1"/>
        </w:pBdr>
        <w:spacing w:after="70" w:before="180"/>
      </w:pPr>
      <w:r>
        <w:rPr>
          <w:rFonts w:ascii="Calibri" w:cs="Calibri" w:eastAsia="Calibri" w:hAnsi="Calibri"/>
          <w:b/>
          <w:bCs/>
          <w:smallCaps/>
          <w:color w:val="44546A"/>
          <w:sz w:val="24"/>
          <w:szCs w:val="24"/>
        </w:rPr>
        <w:t xml:space="preserve">Core Competencies</w:t>
      </w:r>
    </w:p>
    <w:p>
      <w:pPr>
        <w:shd w:fill="D5DCE4" w:color="auto" w:val="clear"/>
        <w:spacing w:after="40" w:before="0" w:line="264"/>
        <w:jc w:val="center"/>
      </w:pPr>
      <w:r>
        <w:rPr>
          <w:rFonts w:ascii="Calibri" w:cs="Calibri" w:eastAsia="Calibri" w:hAnsi="Calibri"/>
          <w:color w:val="262626"/>
          <w:sz w:val="20"/>
          <w:szCs w:val="20"/>
        </w:rPr>
        <w:t xml:space="preserve">Clinical Program Leadership | Behavioral Health Operations | CCBHC / CCBHO Model | Crisis Services &amp; Mobile Crisis | Behavioral Health Urgent Care | CARF Accreditation | State Certification &amp; Compliance | ASAM Levels of Care | Evidence-Based Practices | Measurement-Based Care | Continuous Quality Improvement | Value-Based Payment | Managed Care Contracting | Budget &amp; Fiscal Oversight | Grant Funding &amp; Procurement | Psychiatric &amp; Nursing Practice Oversight | Clinical Supervision | Integrated Primary &amp; Behavioral Health | Health Home Model | EHR Implementation | Community Health Needs Assessment | Legislative Advocacy | Law Enforcement Partnerships | Trauma-Focused Treatment | Risk Management | Staff Training &amp; Development</w:t>
      </w:r>
    </w:p>
    <w:p>
      <w:pPr>
        <w:keepNext/>
        <w:pBdr>
          <w:bottom w:val="single" w:color="44546A" w:sz="4" w:space="1"/>
        </w:pBdr>
        <w:spacing w:after="70" w:before="180"/>
      </w:pPr>
      <w:r>
        <w:rPr>
          <w:rFonts w:ascii="Calibri" w:cs="Calibri" w:eastAsia="Calibri" w:hAnsi="Calibri"/>
          <w:b/>
          <w:bCs/>
          <w:smallCaps/>
          <w:color w:val="44546A"/>
          <w:sz w:val="24"/>
          <w:szCs w:val="24"/>
        </w:rPr>
        <w:t xml:space="preserve">Professional Experience</w:t>
      </w:r>
    </w:p>
    <w:p>
      <w:pPr>
        <w:keepNext/>
        <w:tabs>
          <w:tab w:val="right" w:pos="10800"/>
        </w:tabs>
        <w:spacing w:after="20" w:before="60"/>
      </w:pPr>
      <w:r>
        <w:rPr>
          <w:rFonts w:ascii="Calibri" w:cs="Calibri" w:eastAsia="Calibri" w:hAnsi="Calibri"/>
          <w:b/>
          <w:bCs/>
          <w:color w:val="2F5496"/>
          <w:sz w:val="20"/>
          <w:szCs w:val="20"/>
        </w:rPr>
        <w:t xml:space="preserve">CO-CEO</w:t>
      </w:r>
      <w:r>
        <w:rPr>
          <w:rFonts w:ascii="Calibri" w:cs="Calibri" w:eastAsia="Calibri" w:hAnsi="Calibri"/>
          <w:color w:val="595959"/>
          <w:sz w:val="20"/>
          <w:szCs w:val="20"/>
        </w:rPr>
        <w:t xml:space="preserve">  |  </w:t>
      </w:r>
      <w:r>
        <w:rPr>
          <w:rFonts w:ascii="Calibri" w:cs="Calibri" w:eastAsia="Calibri" w:hAnsi="Calibri"/>
          <w:b/>
          <w:bCs/>
          <w:color w:val="262626"/>
          <w:sz w:val="20"/>
          <w:szCs w:val="20"/>
        </w:rPr>
        <w:t xml:space="preserve">Family Guidance Center for Behavioral Healthcare</w:t>
      </w:r>
      <w:r>
        <w:rPr>
          <w:rFonts w:ascii="Calibri" w:cs="Calibri" w:eastAsia="Calibri" w:hAnsi="Calibri"/>
          <w:color w:val="262626"/>
          <w:sz w:val="20"/>
          <w:szCs w:val="20"/>
        </w:rPr>
        <w:tab/>
        <w:t xml:space="preserve">2019 – Present</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Direct all clinical programming across nine counties, including the psychiatric and nursing practice and a crisis system with a Behavioral Health Urgent Care and Mobile Crisis Response Teams.</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Own agency certification and national accreditation and lead continuous quality improvement behind value-based payment arrangements with the State and managed care companies.</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Lead clinical implementation of the electronic health record and ambient AI, and procure new funding to expand programming.</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Designed the agency's community health needs assessment and social marketing plan, help develop the budget, and lead legislative advocacy and community partnerships.</w:t>
      </w:r>
    </w:p>
    <w:p>
      <w:pPr>
        <w:keepNext/>
        <w:tabs>
          <w:tab w:val="right" w:pos="10800"/>
        </w:tabs>
        <w:spacing w:after="20" w:before="140"/>
      </w:pPr>
      <w:r>
        <w:rPr>
          <w:rFonts w:ascii="Calibri" w:cs="Calibri" w:eastAsia="Calibri" w:hAnsi="Calibri"/>
          <w:b/>
          <w:bCs/>
          <w:color w:val="2F5496"/>
          <w:sz w:val="20"/>
          <w:szCs w:val="20"/>
        </w:rPr>
        <w:t xml:space="preserve">VICE PRESIDENT OF BEHAVIORAL HEALTHCARE</w:t>
      </w:r>
      <w:r>
        <w:rPr>
          <w:rFonts w:ascii="Calibri" w:cs="Calibri" w:eastAsia="Calibri" w:hAnsi="Calibri"/>
          <w:color w:val="595959"/>
          <w:sz w:val="20"/>
          <w:szCs w:val="20"/>
        </w:rPr>
        <w:t xml:space="preserve">  |  </w:t>
      </w:r>
      <w:r>
        <w:rPr>
          <w:rFonts w:ascii="Calibri" w:cs="Calibri" w:eastAsia="Calibri" w:hAnsi="Calibri"/>
          <w:b/>
          <w:bCs/>
          <w:color w:val="262626"/>
          <w:sz w:val="20"/>
          <w:szCs w:val="20"/>
        </w:rPr>
        <w:t xml:space="preserve">Family Guidance Center for Behavioral Healthcare</w:t>
      </w:r>
      <w:r>
        <w:rPr>
          <w:rFonts w:ascii="Calibri" w:cs="Calibri" w:eastAsia="Calibri" w:hAnsi="Calibri"/>
          <w:color w:val="262626"/>
          <w:sz w:val="20"/>
          <w:szCs w:val="20"/>
        </w:rPr>
        <w:tab/>
        <w:t xml:space="preserve">2010 – 2019</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Served as clinical lead for the organization, overseeing all clinical programming and program outcomes with on-call support to mobile crisis teams.</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Selected, trained, and directed department heads, clinical supervisors, physicians, nursing staff, and Access/Crisis Intervention staff.</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Launched new service lines, developed budgets, and monitored fiscal performance so services met or exceeded annual budget.</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Led quality improvement and oversaw accreditation and certification, setting program standards and correcting course on results.</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Led state-level advocacy and made risk management and legal decisions for personnel.</w:t>
      </w:r>
    </w:p>
    <w:p>
      <w:pPr>
        <w:keepNext/>
        <w:tabs>
          <w:tab w:val="right" w:pos="10800"/>
        </w:tabs>
        <w:spacing w:after="20" w:before="140"/>
      </w:pPr>
      <w:r>
        <w:rPr>
          <w:rFonts w:ascii="Calibri" w:cs="Calibri" w:eastAsia="Calibri" w:hAnsi="Calibri"/>
          <w:b/>
          <w:bCs/>
          <w:color w:val="2F5496"/>
          <w:sz w:val="20"/>
          <w:szCs w:val="20"/>
        </w:rPr>
        <w:t xml:space="preserve">CLINICAL DIRECTOR, ADULT MENTAL HEALTH SERVICES</w:t>
      </w:r>
      <w:r>
        <w:rPr>
          <w:rFonts w:ascii="Calibri" w:cs="Calibri" w:eastAsia="Calibri" w:hAnsi="Calibri"/>
          <w:color w:val="595959"/>
          <w:sz w:val="20"/>
          <w:szCs w:val="20"/>
        </w:rPr>
        <w:t xml:space="preserve">  |  </w:t>
      </w:r>
      <w:r>
        <w:rPr>
          <w:rFonts w:ascii="Calibri" w:cs="Calibri" w:eastAsia="Calibri" w:hAnsi="Calibri"/>
          <w:b/>
          <w:bCs/>
          <w:color w:val="262626"/>
          <w:sz w:val="20"/>
          <w:szCs w:val="20"/>
        </w:rPr>
        <w:t xml:space="preserve">Family Guidance Center for Behavioral Healthcare</w:t>
      </w:r>
      <w:r>
        <w:rPr>
          <w:rFonts w:ascii="Calibri" w:cs="Calibri" w:eastAsia="Calibri" w:hAnsi="Calibri"/>
          <w:color w:val="262626"/>
          <w:sz w:val="20"/>
          <w:szCs w:val="20"/>
        </w:rPr>
        <w:tab/>
        <w:t xml:space="preserve">2005 – 2010</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Implemented forensic services, Assertive Community Treatment, Integrated Dual Diagnosis Treatment, and physical health care collaboration with the area Community Health Center.</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Oversaw Access Crisis Intervention services and built collaborative programming with the Department of Corrections.</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Wrote funding proposals, evaluated programs, and kept programs compliant with regulatory and certification standards.</w:t>
      </w:r>
    </w:p>
    <w:p>
      <w:pPr>
        <w:keepNext/>
        <w:tabs>
          <w:tab w:val="right" w:pos="10800"/>
        </w:tabs>
        <w:spacing w:after="20" w:before="140"/>
      </w:pPr>
      <w:r>
        <w:rPr>
          <w:rFonts w:ascii="Calibri" w:cs="Calibri" w:eastAsia="Calibri" w:hAnsi="Calibri"/>
          <w:b/>
          <w:bCs/>
          <w:color w:val="2F5496"/>
          <w:sz w:val="20"/>
          <w:szCs w:val="20"/>
        </w:rPr>
        <w:t xml:space="preserve">CLINICAL SUPERVISOR</w:t>
      </w:r>
      <w:r>
        <w:rPr>
          <w:rFonts w:ascii="Calibri" w:cs="Calibri" w:eastAsia="Calibri" w:hAnsi="Calibri"/>
          <w:color w:val="595959"/>
          <w:sz w:val="20"/>
          <w:szCs w:val="20"/>
        </w:rPr>
        <w:t xml:space="preserve">  |  </w:t>
      </w:r>
      <w:r>
        <w:rPr>
          <w:rFonts w:ascii="Calibri" w:cs="Calibri" w:eastAsia="Calibri" w:hAnsi="Calibri"/>
          <w:b/>
          <w:bCs/>
          <w:color w:val="262626"/>
          <w:sz w:val="20"/>
          <w:szCs w:val="20"/>
        </w:rPr>
        <w:t xml:space="preserve">Family Guidance Center for Behavioral Healthcare</w:t>
      </w:r>
      <w:r>
        <w:rPr>
          <w:rFonts w:ascii="Calibri" w:cs="Calibri" w:eastAsia="Calibri" w:hAnsi="Calibri"/>
          <w:color w:val="262626"/>
          <w:sz w:val="20"/>
          <w:szCs w:val="20"/>
        </w:rPr>
        <w:tab/>
        <w:t xml:space="preserve">2002 – 2005</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Led a team of Community Support Specialists, provided crisis intervention, and completed intake assessments, preliminary diagnoses, and treatment plans.</w:t>
      </w:r>
    </w:p>
    <w:p>
      <w:pPr>
        <w:keepNext/>
        <w:pBdr>
          <w:bottom w:val="single" w:color="44546A" w:sz="4" w:space="1"/>
        </w:pBdr>
        <w:spacing w:after="70" w:before="180"/>
      </w:pPr>
      <w:r>
        <w:rPr>
          <w:rFonts w:ascii="Calibri" w:cs="Calibri" w:eastAsia="Calibri" w:hAnsi="Calibri"/>
          <w:b/>
          <w:bCs/>
          <w:smallCaps/>
          <w:color w:val="44546A"/>
          <w:sz w:val="24"/>
          <w:szCs w:val="24"/>
        </w:rPr>
        <w:t xml:space="preserve">Programs Launched</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Developed the Transitional Community Program for the Department of Mental Health, the first program of its kind in Missouri.</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Won funding for and launched an Assertive Community Treatment team in a rural community and a program integrating primary and behavioral healthcare.</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Won competitive state and federal grants for treatment court services.</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Led implementation of the Healthcare Home model and Emergency Room Enhancement Services, reducing unnecessary emergency department use.</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Implemented measurement-based care with standardized assessments and evidence-based modalities including PCIT, TF-CBT, ITCT, CBT, EMDR, and MRT.</w:t>
      </w:r>
    </w:p>
    <w:p>
      <w:pPr>
        <w:keepNext/>
        <w:pBdr>
          <w:bottom w:val="single" w:color="44546A" w:sz="4" w:space="1"/>
        </w:pBdr>
        <w:spacing w:after="70" w:before="180"/>
      </w:pPr>
      <w:r>
        <w:rPr>
          <w:rFonts w:ascii="Calibri" w:cs="Calibri" w:eastAsia="Calibri" w:hAnsi="Calibri"/>
          <w:b/>
          <w:bCs/>
          <w:smallCaps/>
          <w:color w:val="44546A"/>
          <w:sz w:val="24"/>
          <w:szCs w:val="24"/>
        </w:rPr>
        <w:t xml:space="preserve">Earlier Experience</w:t>
      </w:r>
    </w:p>
    <w:p>
      <w:pPr>
        <w:keepNext/>
        <w:tabs>
          <w:tab w:val="right" w:pos="10800"/>
        </w:tabs>
        <w:spacing w:after="20" w:before="60"/>
      </w:pPr>
      <w:r>
        <w:rPr>
          <w:rFonts w:ascii="Calibri" w:cs="Calibri" w:eastAsia="Calibri" w:hAnsi="Calibri"/>
          <w:b/>
          <w:bCs/>
          <w:color w:val="2F5496"/>
          <w:sz w:val="20"/>
          <w:szCs w:val="20"/>
        </w:rPr>
        <w:t xml:space="preserve">MEDICAL SOCIAL WORKER</w:t>
      </w:r>
      <w:r>
        <w:rPr>
          <w:rFonts w:ascii="Calibri" w:cs="Calibri" w:eastAsia="Calibri" w:hAnsi="Calibri"/>
          <w:color w:val="595959"/>
          <w:sz w:val="20"/>
          <w:szCs w:val="20"/>
        </w:rPr>
        <w:t xml:space="preserve">  |  </w:t>
      </w:r>
      <w:r>
        <w:rPr>
          <w:rFonts w:ascii="Calibri" w:cs="Calibri" w:eastAsia="Calibri" w:hAnsi="Calibri"/>
          <w:b/>
          <w:bCs/>
          <w:color w:val="262626"/>
          <w:sz w:val="20"/>
          <w:szCs w:val="20"/>
        </w:rPr>
        <w:t xml:space="preserve">Mosaic Life Care</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Covered the Emergency Department and ICU, assessing social determinants of health, leading discharge planning and utilization management, and chairing interdisciplinary care team meetings.</w:t>
      </w:r>
    </w:p>
    <w:p>
      <w:pPr>
        <w:keepNext/>
        <w:tabs>
          <w:tab w:val="right" w:pos="10800"/>
        </w:tabs>
        <w:spacing w:after="20" w:before="140"/>
      </w:pPr>
      <w:r>
        <w:rPr>
          <w:rFonts w:ascii="Calibri" w:cs="Calibri" w:eastAsia="Calibri" w:hAnsi="Calibri"/>
          <w:b/>
          <w:bCs/>
          <w:color w:val="2F5496"/>
          <w:sz w:val="20"/>
          <w:szCs w:val="20"/>
        </w:rPr>
        <w:t xml:space="preserve">COMMUNITY SUPPORT SPECIALIST</w:t>
      </w:r>
      <w:r>
        <w:rPr>
          <w:rFonts w:ascii="Calibri" w:cs="Calibri" w:eastAsia="Calibri" w:hAnsi="Calibri"/>
          <w:color w:val="595959"/>
          <w:sz w:val="20"/>
          <w:szCs w:val="20"/>
        </w:rPr>
        <w:t xml:space="preserve">  |  </w:t>
      </w:r>
      <w:r>
        <w:rPr>
          <w:rFonts w:ascii="Calibri" w:cs="Calibri" w:eastAsia="Calibri" w:hAnsi="Calibri"/>
          <w:b/>
          <w:bCs/>
          <w:color w:val="262626"/>
          <w:sz w:val="20"/>
          <w:szCs w:val="20"/>
        </w:rPr>
        <w:t xml:space="preserve">Family Guidance Center for Behavioral Healthcare</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Managed a caseload of adults with mental illness, substance use disorders, and homelessness, with 24/7 on-call crisis intervention.</w:t>
      </w:r>
    </w:p>
    <w:p>
      <w:pPr>
        <w:keepNext/>
        <w:tabs>
          <w:tab w:val="right" w:pos="10800"/>
        </w:tabs>
        <w:spacing w:after="20" w:before="140"/>
      </w:pPr>
      <w:r>
        <w:rPr>
          <w:rFonts w:ascii="Calibri" w:cs="Calibri" w:eastAsia="Calibri" w:hAnsi="Calibri"/>
          <w:b/>
          <w:bCs/>
          <w:color w:val="2F5496"/>
          <w:sz w:val="20"/>
          <w:szCs w:val="20"/>
        </w:rPr>
        <w:t xml:space="preserve">ADJUNCT INSTRUCTOR OF SOCIAL WORK</w:t>
      </w:r>
      <w:r>
        <w:rPr>
          <w:rFonts w:ascii="Calibri" w:cs="Calibri" w:eastAsia="Calibri" w:hAnsi="Calibri"/>
          <w:color w:val="595959"/>
          <w:sz w:val="20"/>
          <w:szCs w:val="20"/>
        </w:rPr>
        <w:t xml:space="preserve">  |  </w:t>
      </w:r>
      <w:r>
        <w:rPr>
          <w:rFonts w:ascii="Calibri" w:cs="Calibri" w:eastAsia="Calibri" w:hAnsi="Calibri"/>
          <w:b/>
          <w:bCs/>
          <w:color w:val="262626"/>
          <w:sz w:val="20"/>
          <w:szCs w:val="20"/>
        </w:rPr>
        <w:t xml:space="preserve">Missouri Western State University</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Taught undergraduate courses on mental health in social work and social welfare policy.</w:t>
      </w:r>
    </w:p>
    <w:p>
      <w:pPr>
        <w:keepNext/>
        <w:pBdr>
          <w:bottom w:val="single" w:color="44546A" w:sz="4" w:space="1"/>
        </w:pBdr>
        <w:spacing w:after="70" w:before="180"/>
      </w:pPr>
      <w:r>
        <w:rPr>
          <w:rFonts w:ascii="Calibri" w:cs="Calibri" w:eastAsia="Calibri" w:hAnsi="Calibri"/>
          <w:b/>
          <w:bCs/>
          <w:smallCaps/>
          <w:color w:val="44546A"/>
          <w:sz w:val="24"/>
          <w:szCs w:val="24"/>
        </w:rPr>
        <w:t xml:space="preserve">Education</w:t>
      </w:r>
    </w:p>
    <w:p>
      <w:pPr>
        <w:spacing w:after="20" w:before="0" w:line="252"/>
        <w:jc w:val="left"/>
      </w:pPr>
      <w:r>
        <w:rPr>
          <w:rFonts w:ascii="Calibri" w:cs="Calibri" w:eastAsia="Calibri" w:hAnsi="Calibri"/>
          <w:b/>
          <w:bCs/>
          <w:color w:val="262626"/>
          <w:sz w:val="20"/>
          <w:szCs w:val="20"/>
        </w:rPr>
        <w:t xml:space="preserve">Master of Social Work</w:t>
      </w:r>
      <w:r>
        <w:rPr>
          <w:rFonts w:ascii="Calibri" w:cs="Calibri" w:eastAsia="Calibri" w:hAnsi="Calibri"/>
          <w:color w:val="262626"/>
          <w:sz w:val="20"/>
          <w:szCs w:val="20"/>
        </w:rPr>
        <w:t xml:space="preserve">  |  University of Missouri-Columbia</w:t>
      </w:r>
    </w:p>
    <w:p>
      <w:pPr>
        <w:spacing w:after="0" w:before="0" w:line="252"/>
        <w:jc w:val="left"/>
      </w:pPr>
      <w:r>
        <w:rPr>
          <w:rFonts w:ascii="Calibri" w:cs="Calibri" w:eastAsia="Calibri" w:hAnsi="Calibri"/>
          <w:b/>
          <w:bCs/>
          <w:color w:val="262626"/>
          <w:sz w:val="20"/>
          <w:szCs w:val="20"/>
        </w:rPr>
        <w:t xml:space="preserve">Bachelor of Social Work</w:t>
      </w:r>
      <w:r>
        <w:rPr>
          <w:rFonts w:ascii="Calibri" w:cs="Calibri" w:eastAsia="Calibri" w:hAnsi="Calibri"/>
          <w:color w:val="262626"/>
          <w:sz w:val="20"/>
          <w:szCs w:val="20"/>
        </w:rPr>
        <w:t xml:space="preserve">  |  Missouri Western State University</w:t>
      </w:r>
    </w:p>
    <w:p>
      <w:pPr>
        <w:keepNext/>
        <w:pBdr>
          <w:bottom w:val="single" w:color="44546A" w:sz="4" w:space="1"/>
        </w:pBdr>
        <w:spacing w:after="70" w:before="180"/>
      </w:pPr>
      <w:r>
        <w:rPr>
          <w:rFonts w:ascii="Calibri" w:cs="Calibri" w:eastAsia="Calibri" w:hAnsi="Calibri"/>
          <w:b/>
          <w:bCs/>
          <w:smallCaps/>
          <w:color w:val="44546A"/>
          <w:sz w:val="24"/>
          <w:szCs w:val="24"/>
        </w:rPr>
        <w:t xml:space="preserve">Professional Service &amp; Interests</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Chair, Public Policy Committee, Missouri Behavioral Health Council.</w:t>
      </w:r>
    </w:p>
    <w:p>
      <w:pPr>
        <w:pStyle w:val="ListParagraph"/>
        <w:numPr>
          <w:ilvl w:val="0"/>
          <w:numId w:val="3"/>
        </w:numPr>
        <w:tabs>
          <w:tab w:val="left" w:pos="360"/>
        </w:tabs>
        <w:spacing w:after="0" w:before="0" w:line="250"/>
      </w:pPr>
      <w:r>
        <w:rPr>
          <w:rFonts w:ascii="Calibri" w:cs="Calibri" w:eastAsia="Calibri" w:hAnsi="Calibri"/>
          <w:color w:val="262626"/>
          <w:sz w:val="20"/>
          <w:szCs w:val="20"/>
        </w:rPr>
        <w:t xml:space="preserve">Avid cyclist, runner, and outdoor enthusiast.</w:t>
      </w:r>
    </w:p>
    <w:p>
      <w:pPr>
        <w:keepNext/>
        <w:pBdr>
          <w:bottom w:val="single" w:color="44546A" w:sz="4" w:space="1"/>
        </w:pBdr>
        <w:spacing w:after="70" w:before="180"/>
      </w:pPr>
      <w:r>
        <w:rPr>
          <w:rFonts w:ascii="Calibri" w:cs="Calibri" w:eastAsia="Calibri" w:hAnsi="Calibri"/>
          <w:b/>
          <w:bCs/>
          <w:smallCaps/>
          <w:color w:val="44546A"/>
          <w:sz w:val="24"/>
          <w:szCs w:val="24"/>
        </w:rPr>
        <w:t xml:space="preserve">Keyword Index</w:t>
      </w:r>
    </w:p>
    <w:tbl>
      <w:tblPr>
        <w:tblW w:type="dxa" w:w="10800"/>
        <w:tblBorders>
          <w:top w:val="single" w:color="1F3864" w:sz="8"/>
          <w:left w:val="single" w:color="1F3864" w:sz="8"/>
          <w:bottom w:val="single" w:color="1F3864" w:sz="8"/>
          <w:right w:val="single" w:color="1F3864" w:sz="8"/>
          <w:insideH w:val="none" w:color="FFFFFF" w:sz="0"/>
          <w:insideV w:val="single" w:color="1F3864" w:sz="8"/>
        </w:tblBorders>
      </w:tblPr>
      <w:tblGrid>
        <w:gridCol w:w="2500"/>
        <w:gridCol w:w="8300"/>
      </w:tblGrid>
      <w:tr>
        <w:trPr>
          <w:cantSplit/>
        </w:trPr>
        <w:tc>
          <w:tcPr>
            <w:tcW w:type="dxa" w:w="2500"/>
            <w:shd w:fill="D5DCE4" w:color="auto" w:val="clear"/>
            <w:tcMar>
              <w:top w:type="dxa" w:w="40"/>
              <w:left w:type="dxa" w:w="110"/>
              <w:bottom w:type="dxa" w:w="40"/>
              <w:right w:type="dxa" w:w="110"/>
            </w:tcMar>
          </w:tcPr>
          <w:p>
            <w:pPr>
              <w:spacing w:after="0" w:line="252"/>
            </w:pPr>
            <w:r>
              <w:rPr>
                <w:rFonts w:ascii="Calibri" w:cs="Calibri" w:eastAsia="Calibri" w:hAnsi="Calibri"/>
                <w:b/>
                <w:bCs/>
                <w:color w:val="1F3864"/>
                <w:sz w:val="18"/>
                <w:szCs w:val="18"/>
              </w:rPr>
              <w:t xml:space="preserve">Clinical Leadership</w:t>
            </w:r>
          </w:p>
        </w:tc>
        <w:tc>
          <w:tcPr>
            <w:tcW w:type="dxa" w:w="8300"/>
            <w:shd w:fill="D5DCE4" w:color="auto" w:val="clear"/>
            <w:tcMar>
              <w:top w:type="dxa" w:w="40"/>
              <w:left w:type="dxa" w:w="110"/>
              <w:bottom w:type="dxa" w:w="40"/>
              <w:right w:type="dxa" w:w="110"/>
            </w:tcMar>
          </w:tcPr>
          <w:p>
            <w:pPr>
              <w:spacing w:after="0" w:line="252"/>
            </w:pPr>
            <w:r>
              <w:rPr>
                <w:rFonts w:ascii="Calibri" w:cs="Calibri" w:eastAsia="Calibri" w:hAnsi="Calibri"/>
                <w:b w:val="false"/>
                <w:bCs w:val="false"/>
                <w:color w:val="262626"/>
                <w:sz w:val="18"/>
                <w:szCs w:val="18"/>
              </w:rPr>
              <w:t xml:space="preserve">clinical director, clinical operations, clinical supervision, behavioral health, mental health, substance use disorder (SUD), co-occurring disorders, crisis intervention, mobile crisis, behavioral health urgent care, psychiatric services</w:t>
            </w:r>
          </w:p>
        </w:tc>
      </w:tr>
      <w:tr>
        <w:trPr>
          <w:cantSplit/>
        </w:trPr>
        <w:tc>
          <w:tcPr>
            <w:tcW w:type="dxa" w:w="2500"/>
            <w:shd w:fill="FFFFFF" w:color="auto" w:val="clear"/>
            <w:tcMar>
              <w:top w:type="dxa" w:w="40"/>
              <w:left w:type="dxa" w:w="110"/>
              <w:bottom w:type="dxa" w:w="40"/>
              <w:right w:type="dxa" w:w="110"/>
            </w:tcMar>
          </w:tcPr>
          <w:p>
            <w:pPr>
              <w:spacing w:after="0" w:line="252"/>
            </w:pPr>
            <w:r>
              <w:rPr>
                <w:rFonts w:ascii="Calibri" w:cs="Calibri" w:eastAsia="Calibri" w:hAnsi="Calibri"/>
                <w:b/>
                <w:bCs/>
                <w:color w:val="1F3864"/>
                <w:sz w:val="18"/>
                <w:szCs w:val="18"/>
              </w:rPr>
              <w:t xml:space="preserve">Models &amp; Practices</w:t>
            </w:r>
          </w:p>
        </w:tc>
        <w:tc>
          <w:tcPr>
            <w:tcW w:type="dxa" w:w="8300"/>
            <w:shd w:fill="FFFFFF" w:color="auto" w:val="clear"/>
            <w:tcMar>
              <w:top w:type="dxa" w:w="40"/>
              <w:left w:type="dxa" w:w="110"/>
              <w:bottom w:type="dxa" w:w="40"/>
              <w:right w:type="dxa" w:w="110"/>
            </w:tcMar>
          </w:tcPr>
          <w:p>
            <w:pPr>
              <w:spacing w:after="0" w:line="252"/>
            </w:pPr>
            <w:r>
              <w:rPr>
                <w:rFonts w:ascii="Calibri" w:cs="Calibri" w:eastAsia="Calibri" w:hAnsi="Calibri"/>
                <w:b w:val="false"/>
                <w:bCs w:val="false"/>
                <w:color w:val="262626"/>
                <w:sz w:val="18"/>
                <w:szCs w:val="18"/>
              </w:rPr>
              <w:t xml:space="preserve">certified community behavioral health clinic (CCBHC), CCBHO, ASAM Criteria, evidence-based practices, measurement-based care, trauma-focused treatment, TF-CBT, PCIT, EMDR, CBT, Assertive Community Treatment (ACT), Integrated Dual Diagnosis Treatment, health home, integrated care</w:t>
            </w:r>
          </w:p>
        </w:tc>
      </w:tr>
      <w:tr>
        <w:trPr>
          <w:cantSplit/>
        </w:trPr>
        <w:tc>
          <w:tcPr>
            <w:tcW w:type="dxa" w:w="2500"/>
            <w:shd w:fill="D5DCE4" w:color="auto" w:val="clear"/>
            <w:tcMar>
              <w:top w:type="dxa" w:w="40"/>
              <w:left w:type="dxa" w:w="110"/>
              <w:bottom w:type="dxa" w:w="40"/>
              <w:right w:type="dxa" w:w="110"/>
            </w:tcMar>
          </w:tcPr>
          <w:p>
            <w:pPr>
              <w:spacing w:after="0" w:line="252"/>
            </w:pPr>
            <w:r>
              <w:rPr>
                <w:rFonts w:ascii="Calibri" w:cs="Calibri" w:eastAsia="Calibri" w:hAnsi="Calibri"/>
                <w:b/>
                <w:bCs/>
                <w:color w:val="1F3864"/>
                <w:sz w:val="18"/>
                <w:szCs w:val="18"/>
              </w:rPr>
              <w:t xml:space="preserve">Quality &amp; Compliance</w:t>
            </w:r>
          </w:p>
        </w:tc>
        <w:tc>
          <w:tcPr>
            <w:tcW w:type="dxa" w:w="8300"/>
            <w:shd w:fill="D5DCE4" w:color="auto" w:val="clear"/>
            <w:tcMar>
              <w:top w:type="dxa" w:w="40"/>
              <w:left w:type="dxa" w:w="110"/>
              <w:bottom w:type="dxa" w:w="40"/>
              <w:right w:type="dxa" w:w="110"/>
            </w:tcMar>
          </w:tcPr>
          <w:p>
            <w:pPr>
              <w:spacing w:after="0" w:line="252"/>
            </w:pPr>
            <w:r>
              <w:rPr>
                <w:rFonts w:ascii="Calibri" w:cs="Calibri" w:eastAsia="Calibri" w:hAnsi="Calibri"/>
                <w:b w:val="false"/>
                <w:bCs w:val="false"/>
                <w:color w:val="262626"/>
                <w:sz w:val="18"/>
                <w:szCs w:val="18"/>
              </w:rPr>
              <w:t xml:space="preserve">CARF accreditation, state certification, continuous quality improvement (CQI), program evaluation, outcomes, regulatory compliance, risk management, policy and procedure development</w:t>
            </w:r>
          </w:p>
        </w:tc>
      </w:tr>
      <w:tr>
        <w:trPr>
          <w:cantSplit/>
        </w:trPr>
        <w:tc>
          <w:tcPr>
            <w:tcW w:type="dxa" w:w="2500"/>
            <w:shd w:fill="FFFFFF" w:color="auto" w:val="clear"/>
            <w:tcMar>
              <w:top w:type="dxa" w:w="40"/>
              <w:left w:type="dxa" w:w="110"/>
              <w:bottom w:type="dxa" w:w="40"/>
              <w:right w:type="dxa" w:w="110"/>
            </w:tcMar>
          </w:tcPr>
          <w:p>
            <w:pPr>
              <w:spacing w:after="0" w:line="252"/>
            </w:pPr>
            <w:r>
              <w:rPr>
                <w:rFonts w:ascii="Calibri" w:cs="Calibri" w:eastAsia="Calibri" w:hAnsi="Calibri"/>
                <w:b/>
                <w:bCs/>
                <w:color w:val="1F3864"/>
                <w:sz w:val="18"/>
                <w:szCs w:val="18"/>
              </w:rPr>
              <w:t xml:space="preserve">Finance &amp; Contracting</w:t>
            </w:r>
          </w:p>
        </w:tc>
        <w:tc>
          <w:tcPr>
            <w:tcW w:type="dxa" w:w="8300"/>
            <w:shd w:fill="FFFFFF" w:color="auto" w:val="clear"/>
            <w:tcMar>
              <w:top w:type="dxa" w:w="40"/>
              <w:left w:type="dxa" w:w="110"/>
              <w:bottom w:type="dxa" w:w="40"/>
              <w:right w:type="dxa" w:w="110"/>
            </w:tcMar>
          </w:tcPr>
          <w:p>
            <w:pPr>
              <w:spacing w:after="0" w:line="252"/>
            </w:pPr>
            <w:r>
              <w:rPr>
                <w:rFonts w:ascii="Calibri" w:cs="Calibri" w:eastAsia="Calibri" w:hAnsi="Calibri"/>
                <w:b w:val="false"/>
                <w:bCs w:val="false"/>
                <w:color w:val="262626"/>
                <w:sz w:val="18"/>
                <w:szCs w:val="18"/>
              </w:rPr>
              <w:t xml:space="preserve">budget development, fiscal management, revenue growth, value-based payment, managed care organizations (MCO), Medicaid, grant writing, funding procurement, contracting</w:t>
            </w:r>
          </w:p>
        </w:tc>
      </w:tr>
      <w:tr>
        <w:trPr>
          <w:cantSplit/>
        </w:trPr>
        <w:tc>
          <w:tcPr>
            <w:tcW w:type="dxa" w:w="2500"/>
            <w:shd w:fill="D5DCE4" w:color="auto" w:val="clear"/>
            <w:tcMar>
              <w:top w:type="dxa" w:w="40"/>
              <w:left w:type="dxa" w:w="110"/>
              <w:bottom w:type="dxa" w:w="40"/>
              <w:right w:type="dxa" w:w="110"/>
            </w:tcMar>
          </w:tcPr>
          <w:p>
            <w:pPr>
              <w:spacing w:after="0" w:line="252"/>
            </w:pPr>
            <w:r>
              <w:rPr>
                <w:rFonts w:ascii="Calibri" w:cs="Calibri" w:eastAsia="Calibri" w:hAnsi="Calibri"/>
                <w:b/>
                <w:bCs/>
                <w:color w:val="1F3864"/>
                <w:sz w:val="18"/>
                <w:szCs w:val="18"/>
              </w:rPr>
              <w:t xml:space="preserve">Systems &amp; Partnerships</w:t>
            </w:r>
          </w:p>
        </w:tc>
        <w:tc>
          <w:tcPr>
            <w:tcW w:type="dxa" w:w="8300"/>
            <w:shd w:fill="D5DCE4" w:color="auto" w:val="clear"/>
            <w:tcMar>
              <w:top w:type="dxa" w:w="40"/>
              <w:left w:type="dxa" w:w="110"/>
              <w:bottom w:type="dxa" w:w="40"/>
              <w:right w:type="dxa" w:w="110"/>
            </w:tcMar>
          </w:tcPr>
          <w:p>
            <w:pPr>
              <w:spacing w:after="0" w:line="252"/>
            </w:pPr>
            <w:r>
              <w:rPr>
                <w:rFonts w:ascii="Calibri" w:cs="Calibri" w:eastAsia="Calibri" w:hAnsi="Calibri"/>
                <w:b w:val="false"/>
                <w:bCs w:val="false"/>
                <w:color w:val="262626"/>
                <w:sz w:val="18"/>
                <w:szCs w:val="18"/>
              </w:rPr>
              <w:t xml:space="preserve">electronic health record (EHR), ambient AI, community health needs assessment, law enforcement co-responder, jail-based services, treatment courts, community health center, legislative advocacy, Master of Social Work (MSW)</w:t>
            </w:r>
          </w:p>
        </w:tc>
      </w:tr>
    </w:tbl>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rPr>
        <w:rFonts w:ascii="Wingdings" w:cs="Wingdings" w:eastAsia="Wingdings" w:hAnsi="Wingdings"/>
        <w:color w:val="BF9000"/>
        <w:sz w:val="20"/>
        <w:szCs w:val="20"/>
      </w:rPr>
    </w:lvl>
  </w:abstractNum>
  <w:abstractNum w:abstractNumId="3" w15:restartNumberingAfterBreak="0">
    <w:multiLevelType w:val="hybridMultilevel"/>
    <w:lvl w:ilvl="0" w15:tentative="1">
      <w:start w:val="1"/>
      <w:numFmt w:val="bullet"/>
      <w:lvlText w:val=""/>
      <w:lvlJc w:val="left"/>
      <w:pPr>
        <w:ind w:left="360" w:hanging="360"/>
      </w:pPr>
      <w:rPr>
        <w:rFonts w:ascii="Symbol" w:cs="Symbol" w:eastAsia="Symbol" w:hAnsi="Symbol"/>
        <w:color w:val="1F3864"/>
        <w:sz w:val="18"/>
        <w:szCs w:val="1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Kristina Campbell Resume</dc:title>
  <dc:creator>BOOMSA</dc:creator>
  <cp:lastModifiedBy>Un-named</cp:lastModifiedBy>
  <cp:revision>1</cp:revision>
  <dcterms:created xsi:type="dcterms:W3CDTF">2026-09-11T18:09:19.881Z</dcterms:created>
  <dcterms:modified xsi:type="dcterms:W3CDTF">2026-09-11T18:09:19.881Z</dcterms:modified>
</cp:coreProperties>
</file>

<file path=docProps/custom.xml><?xml version="1.0" encoding="utf-8"?>
<Properties xmlns="http://schemas.openxmlformats.org/officeDocument/2006/custom-properties" xmlns:vt="http://schemas.openxmlformats.org/officeDocument/2006/docPropsVTypes"/>
</file>